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70EA2" w14:textId="11B71C52" w:rsidR="00DB05EB" w:rsidRPr="00BC59AC" w:rsidRDefault="000607F5" w:rsidP="00DB05EB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Friday</w:t>
      </w:r>
      <w:r w:rsidR="00DB05EB" w:rsidRPr="00BC59AC">
        <w:rPr>
          <w:rFonts w:ascii="Arial" w:hAnsi="Arial" w:cs="Arial"/>
          <w:b/>
          <w:bCs/>
          <w:sz w:val="21"/>
          <w:szCs w:val="21"/>
        </w:rPr>
        <w:t xml:space="preserve">, May </w:t>
      </w:r>
      <w:r>
        <w:rPr>
          <w:rFonts w:ascii="Arial" w:hAnsi="Arial" w:cs="Arial"/>
          <w:b/>
          <w:bCs/>
          <w:sz w:val="21"/>
          <w:szCs w:val="21"/>
        </w:rPr>
        <w:t>10</w:t>
      </w:r>
      <w:r w:rsidR="00DB05EB" w:rsidRPr="00BC59AC">
        <w:rPr>
          <w:rFonts w:ascii="Arial" w:hAnsi="Arial" w:cs="Arial"/>
          <w:b/>
          <w:bCs/>
          <w:sz w:val="21"/>
          <w:szCs w:val="21"/>
        </w:rPr>
        <w:t>, 2024</w:t>
      </w:r>
      <w:r w:rsidR="00DB05EB" w:rsidRPr="00BC59AC">
        <w:rPr>
          <w:rFonts w:ascii="Arial" w:hAnsi="Arial" w:cs="Arial"/>
          <w:b/>
          <w:bCs/>
          <w:sz w:val="21"/>
          <w:szCs w:val="21"/>
        </w:rPr>
        <w:br/>
        <w:t>11:00 am – 1:00 pm, Central</w:t>
      </w:r>
    </w:p>
    <w:p w14:paraId="7EB73F3A" w14:textId="77777777" w:rsidR="00DB05EB" w:rsidRPr="00BC59AC" w:rsidRDefault="00DB05EB" w:rsidP="00DB05E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EF6691A" w14:textId="67E5DABE" w:rsidR="00DB05EB" w:rsidRPr="00BC59AC" w:rsidRDefault="000607F5" w:rsidP="00DB05EB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Enhancing Your Clinical Instruction with Reflective Practice</w:t>
      </w:r>
    </w:p>
    <w:p w14:paraId="0A4AD6D9" w14:textId="0ACD63AF" w:rsidR="000607F5" w:rsidRPr="000607F5" w:rsidRDefault="000607F5" w:rsidP="00060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 w:rsidRPr="000607F5">
        <w:rPr>
          <w:rFonts w:ascii="Arial" w:hAnsi="Arial" w:cs="Arial"/>
          <w:kern w:val="0"/>
          <w:sz w:val="21"/>
          <w:szCs w:val="21"/>
        </w:rPr>
        <w:t>Clinical education is essential to the development of future speech-language pathologists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>(SLPs). Supervised clinical experiences, where SLP graduate students apply the knowledge,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>skills and professional behaviors learned in the classroom, are a core component of clinical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>education and a requirement of SLP graduate curriculum. Supervised clinical experiences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>cannot occur without SLPs who choose to serve as clinical educators. Just as graduate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>students must acquire the knowledge, skills and professional behaviors needed to be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>competent clinical practitioners, practicing SLPs must learn a unique set of teaching and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 xml:space="preserve">learning skills to be effective clinical educators. This course </w:t>
      </w:r>
      <w:r>
        <w:rPr>
          <w:rFonts w:ascii="Arial" w:hAnsi="Arial" w:cs="Arial"/>
          <w:kern w:val="0"/>
          <w:sz w:val="21"/>
          <w:szCs w:val="21"/>
        </w:rPr>
        <w:t>e</w:t>
      </w:r>
      <w:r w:rsidRPr="000607F5">
        <w:rPr>
          <w:rFonts w:ascii="Arial" w:hAnsi="Arial" w:cs="Arial"/>
          <w:kern w:val="0"/>
          <w:sz w:val="21"/>
          <w:szCs w:val="21"/>
        </w:rPr>
        <w:t>xplains how reflection and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>reflective practice are key elements in the skill building process for both graduate students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>and clinical educators, relating this to the learning principles of mastery, metacognitive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>instruction and self-directed learning. The course also provides reflective practice strategies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>that can be utilized in clinical education to enhance student clinical learning and SLP clinical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Pr="000607F5">
        <w:rPr>
          <w:rFonts w:ascii="Arial" w:hAnsi="Arial" w:cs="Arial"/>
          <w:kern w:val="0"/>
          <w:sz w:val="21"/>
          <w:szCs w:val="21"/>
        </w:rPr>
        <w:t>educator effectiveness.</w:t>
      </w:r>
      <w:r>
        <w:rPr>
          <w:rFonts w:ascii="Arial" w:hAnsi="Arial" w:cs="Arial"/>
          <w:kern w:val="0"/>
          <w:sz w:val="21"/>
          <w:szCs w:val="21"/>
        </w:rPr>
        <w:br/>
      </w:r>
    </w:p>
    <w:p w14:paraId="5D500851" w14:textId="77777777" w:rsidR="000D7009" w:rsidRPr="000D7009" w:rsidRDefault="00DB05EB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607F5">
        <w:rPr>
          <w:rFonts w:ascii="Arial" w:hAnsi="Arial" w:cs="Arial"/>
          <w:b/>
          <w:bCs/>
          <w:sz w:val="21"/>
          <w:szCs w:val="21"/>
        </w:rPr>
        <w:t>Speaker:</w:t>
      </w:r>
      <w:r w:rsidRPr="000607F5">
        <w:rPr>
          <w:rFonts w:ascii="Arial" w:hAnsi="Arial" w:cs="Arial"/>
          <w:b/>
          <w:bCs/>
          <w:sz w:val="21"/>
          <w:szCs w:val="21"/>
        </w:rPr>
        <w:br/>
      </w:r>
      <w:r w:rsidR="000607F5" w:rsidRPr="000607F5">
        <w:rPr>
          <w:rFonts w:ascii="Arial" w:hAnsi="Arial" w:cs="Arial"/>
          <w:sz w:val="21"/>
          <w:szCs w:val="21"/>
        </w:rPr>
        <w:t>Erin Regis Bailey, SLPD, CCC-SLP</w:t>
      </w:r>
      <w:r w:rsidR="000607F5" w:rsidRPr="000607F5">
        <w:rPr>
          <w:rFonts w:ascii="Arial" w:hAnsi="Arial" w:cs="Arial"/>
          <w:sz w:val="21"/>
          <w:szCs w:val="21"/>
        </w:rPr>
        <w:br/>
        <w:t>Concordia University</w:t>
      </w:r>
      <w:r w:rsidR="000D7009">
        <w:rPr>
          <w:rFonts w:ascii="Arial" w:hAnsi="Arial" w:cs="Arial"/>
          <w:sz w:val="21"/>
          <w:szCs w:val="21"/>
        </w:rPr>
        <w:br/>
      </w:r>
      <w:r w:rsidR="000D7009">
        <w:rPr>
          <w:rFonts w:ascii="Arial" w:hAnsi="Arial" w:cs="Arial"/>
          <w:sz w:val="21"/>
          <w:szCs w:val="21"/>
        </w:rPr>
        <w:br/>
      </w:r>
      <w:r w:rsidR="000D7009" w:rsidRPr="000D7009">
        <w:rPr>
          <w:rFonts w:ascii="Arial" w:hAnsi="Arial" w:cs="Arial"/>
          <w:sz w:val="21"/>
          <w:szCs w:val="21"/>
        </w:rPr>
        <w:t xml:space="preserve">Erin Regis Bailey, SLPD, CCC-SLP, is an Assistant Professor and the Clinical Education </w:t>
      </w:r>
    </w:p>
    <w:p w14:paraId="625BEC88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Coordinator for the Department of Speech-Language Pathology (SLP) at Concordia University </w:t>
      </w:r>
    </w:p>
    <w:p w14:paraId="7B8E06D4" w14:textId="0C859B5F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>Wisconsin, located in Mequon, Wisconsin. Dr. Regis Bailey is responsible for program</w:t>
      </w:r>
    </w:p>
    <w:p w14:paraId="12A8E2A9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development, coordination, and management of school-based and medical-based off-campus </w:t>
      </w:r>
    </w:p>
    <w:p w14:paraId="740C39BE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clinical experiences. She also provides academic and clinical instruction in adult neurogenic </w:t>
      </w:r>
    </w:p>
    <w:p w14:paraId="141031C0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communication disorders, neuroanatomy and physiology, and clinical education and supervision. </w:t>
      </w:r>
    </w:p>
    <w:p w14:paraId="4C5152D0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Before this role, she practiced clinically for 17 years in diverse adult medical settings, including </w:t>
      </w:r>
    </w:p>
    <w:p w14:paraId="66E2DB03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acute care, outpatient, home health, subacute care, and inpatient rehabilitation. As part of her </w:t>
      </w:r>
    </w:p>
    <w:p w14:paraId="27F9000C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clinical practice, she served as a clinical educator for colleagues, students, and clinical fellows, </w:t>
      </w:r>
    </w:p>
    <w:p w14:paraId="16838CCD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culminating in her role as the Center Coordinator for Clinical Education for the SLP Department </w:t>
      </w:r>
    </w:p>
    <w:p w14:paraId="4FBD500A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>at Aurora St. Luke’s Medical Center in Milwaukee, Wisconsin (2014-2019).</w:t>
      </w:r>
    </w:p>
    <w:p w14:paraId="2CB478FC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 </w:t>
      </w:r>
    </w:p>
    <w:p w14:paraId="22921DDC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Dr. Regis Bailey earned her BS (1998) and MS (2001) in Communication Sciences and </w:t>
      </w:r>
    </w:p>
    <w:p w14:paraId="5A90513E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Disorders from the University of Wisconsin-Milwaukee. In 2023, she earned her Doctor of </w:t>
      </w:r>
    </w:p>
    <w:p w14:paraId="6D89ACEF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Speech-Language Pathology (SLPD) from Northwestern University and a Qualitative Research </w:t>
      </w:r>
    </w:p>
    <w:p w14:paraId="55BC3EDD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Design and Methods for Public Health Specialization from Emory University and Coursera. Her </w:t>
      </w:r>
    </w:p>
    <w:p w14:paraId="31C48FCF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area of interest is clinical education and supervision, focusing on recruitment, retention, and </w:t>
      </w:r>
    </w:p>
    <w:p w14:paraId="5CCDC4C6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motivation of off-campus clinical educators in SLP and the clinical, academic, and professional </w:t>
      </w:r>
    </w:p>
    <w:p w14:paraId="5D02D232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development of SLP students. She is a member of the American Speech-Language-Hearing </w:t>
      </w:r>
    </w:p>
    <w:p w14:paraId="5046A214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Association (ASHA); ASHA Special Interest Groups Division 02, Neurogenic Communication </w:t>
      </w:r>
    </w:p>
    <w:p w14:paraId="40C4B1E8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Disorders, Division 10, Issues in Higher Education and Division 11, Administration and </w:t>
      </w:r>
    </w:p>
    <w:p w14:paraId="54E9E68C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Supervision; the Council of Academic Programs in Communication Sciences and </w:t>
      </w:r>
    </w:p>
    <w:p w14:paraId="2C3E7DD3" w14:textId="77777777" w:rsidR="000D7009" w:rsidRPr="000D7009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 xml:space="preserve">Disorders (CAPCSD); and Wisconsin Speech-Language Pathology and Audiology Association </w:t>
      </w:r>
    </w:p>
    <w:p w14:paraId="3CDBBC72" w14:textId="746DCFE1" w:rsidR="00DB05EB" w:rsidRPr="00BC59AC" w:rsidRDefault="000D7009" w:rsidP="000D70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D7009">
        <w:rPr>
          <w:rFonts w:ascii="Arial" w:hAnsi="Arial" w:cs="Arial"/>
          <w:sz w:val="21"/>
          <w:szCs w:val="21"/>
        </w:rPr>
        <w:t>(WSHA).</w:t>
      </w:r>
      <w:r w:rsidR="00BC59AC" w:rsidRPr="000607F5">
        <w:rPr>
          <w:rFonts w:ascii="Arial" w:hAnsi="Arial" w:cs="Arial"/>
          <w:sz w:val="21"/>
          <w:szCs w:val="21"/>
        </w:rPr>
        <w:br/>
      </w:r>
      <w:r w:rsidR="00BC59AC" w:rsidRPr="00BC59AC">
        <w:rPr>
          <w:rFonts w:ascii="Arial" w:hAnsi="Arial" w:cs="Arial"/>
          <w:sz w:val="21"/>
          <w:szCs w:val="21"/>
        </w:rPr>
        <w:br/>
        <w:t>Disclosures:</w:t>
      </w:r>
      <w:r w:rsidR="00BC59AC" w:rsidRPr="00BC59AC">
        <w:rPr>
          <w:rFonts w:ascii="Arial" w:hAnsi="Arial" w:cs="Arial"/>
          <w:sz w:val="21"/>
          <w:szCs w:val="21"/>
        </w:rPr>
        <w:br/>
        <w:t xml:space="preserve">Financial </w:t>
      </w:r>
      <w:r w:rsidR="000607F5">
        <w:rPr>
          <w:rFonts w:ascii="Arial" w:hAnsi="Arial" w:cs="Arial"/>
          <w:sz w:val="21"/>
          <w:szCs w:val="21"/>
        </w:rPr>
        <w:t>–</w:t>
      </w:r>
      <w:r w:rsidR="00BC59AC" w:rsidRPr="00BC59AC">
        <w:rPr>
          <w:rFonts w:ascii="Arial" w:hAnsi="Arial" w:cs="Arial"/>
          <w:sz w:val="21"/>
          <w:szCs w:val="21"/>
        </w:rPr>
        <w:t xml:space="preserve"> </w:t>
      </w:r>
      <w:r w:rsidR="000607F5">
        <w:rPr>
          <w:rFonts w:ascii="Arial" w:hAnsi="Arial" w:cs="Arial"/>
          <w:sz w:val="21"/>
          <w:szCs w:val="21"/>
        </w:rPr>
        <w:t>Erin Regis Bailey, SLPD, CCC-SLP is employed by Concordia University and receives a salary.</w:t>
      </w:r>
      <w:r w:rsidR="00BC59AC" w:rsidRPr="00BC59AC">
        <w:rPr>
          <w:rFonts w:ascii="Arial" w:hAnsi="Arial" w:cs="Arial"/>
          <w:sz w:val="21"/>
          <w:szCs w:val="21"/>
        </w:rPr>
        <w:br/>
        <w:t>Non-financial – No relevant disclosures exist.</w:t>
      </w:r>
      <w:r w:rsidR="00DB05EB" w:rsidRPr="00BC59AC">
        <w:rPr>
          <w:rFonts w:ascii="Arial" w:hAnsi="Arial" w:cs="Arial"/>
          <w:sz w:val="21"/>
          <w:szCs w:val="21"/>
        </w:rPr>
        <w:br/>
      </w:r>
      <w:r w:rsidR="00DB05EB" w:rsidRPr="00BC59AC">
        <w:rPr>
          <w:rFonts w:ascii="Arial" w:hAnsi="Arial" w:cs="Arial"/>
          <w:sz w:val="21"/>
          <w:szCs w:val="21"/>
        </w:rPr>
        <w:lastRenderedPageBreak/>
        <w:br/>
      </w:r>
      <w:r w:rsidR="00DB05EB" w:rsidRPr="00BC59AC">
        <w:rPr>
          <w:rFonts w:ascii="Arial" w:hAnsi="Arial" w:cs="Arial"/>
          <w:b/>
          <w:bCs/>
          <w:sz w:val="21"/>
          <w:szCs w:val="21"/>
        </w:rPr>
        <w:t>Learning Objectives:</w:t>
      </w:r>
    </w:p>
    <w:p w14:paraId="24526269" w14:textId="0157084E" w:rsidR="00DB05EB" w:rsidRDefault="000607F5" w:rsidP="000607F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Define reflection and reflective practice related to clinical education and supervision.</w:t>
      </w:r>
    </w:p>
    <w:p w14:paraId="54EF1F27" w14:textId="572B6D2C" w:rsidR="000607F5" w:rsidRDefault="000607F5" w:rsidP="000607F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the relationship between reflective practice and the learning principles of mastery, metacognitive instruction and self-directed learning related to clinical education and supervision.</w:t>
      </w:r>
    </w:p>
    <w:p w14:paraId="581CCB07" w14:textId="6C6D591E" w:rsidR="000607F5" w:rsidRDefault="000607F5" w:rsidP="000607F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Identify at least 3 reflective practice strategies that clinical educators can use to support personal teaching effectiveness and graduate student clinical knowledge, skill and professional behavior development.</w:t>
      </w:r>
    </w:p>
    <w:p w14:paraId="65F444B1" w14:textId="77777777" w:rsidR="000607F5" w:rsidRDefault="000607F5" w:rsidP="000607F5">
      <w:pPr>
        <w:pStyle w:val="ListParagraph"/>
        <w:rPr>
          <w:rFonts w:ascii="Arial" w:hAnsi="Arial" w:cs="Arial"/>
          <w:sz w:val="21"/>
          <w:szCs w:val="21"/>
        </w:rPr>
      </w:pPr>
    </w:p>
    <w:p w14:paraId="44BF9713" w14:textId="156B99AC" w:rsidR="00DB05EB" w:rsidRPr="00BC59AC" w:rsidRDefault="00BC59AC" w:rsidP="001D26D9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1D26D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71BDB1" wp14:editId="5E86F150">
            <wp:extent cx="5202063" cy="1171575"/>
            <wp:effectExtent l="0" t="0" r="0" b="0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15" cy="11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5EB" w:rsidRPr="00BC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C024B"/>
    <w:multiLevelType w:val="hybridMultilevel"/>
    <w:tmpl w:val="59D6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035B6"/>
    <w:multiLevelType w:val="hybridMultilevel"/>
    <w:tmpl w:val="8072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68805">
    <w:abstractNumId w:val="1"/>
  </w:num>
  <w:num w:numId="2" w16cid:durableId="126603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EB"/>
    <w:rsid w:val="000607F5"/>
    <w:rsid w:val="000D7009"/>
    <w:rsid w:val="001D26D9"/>
    <w:rsid w:val="00517DED"/>
    <w:rsid w:val="00567850"/>
    <w:rsid w:val="007516A4"/>
    <w:rsid w:val="008C435F"/>
    <w:rsid w:val="00B40A33"/>
    <w:rsid w:val="00BC59AC"/>
    <w:rsid w:val="00CE6072"/>
    <w:rsid w:val="00D12183"/>
    <w:rsid w:val="00DB05EB"/>
    <w:rsid w:val="00E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EC81"/>
  <w15:chartTrackingRefBased/>
  <w15:docId w15:val="{21A0C99E-D135-4365-A337-3F13FBBE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5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5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5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5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5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5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5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5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5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5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5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5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5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5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5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5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5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5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05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5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05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05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05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05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05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5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5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05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Schneider</dc:creator>
  <cp:keywords/>
  <dc:description/>
  <cp:lastModifiedBy>Karen Schneider</cp:lastModifiedBy>
  <cp:revision>6</cp:revision>
  <dcterms:created xsi:type="dcterms:W3CDTF">2024-03-29T15:15:00Z</dcterms:created>
  <dcterms:modified xsi:type="dcterms:W3CDTF">2024-04-15T17:28:00Z</dcterms:modified>
</cp:coreProperties>
</file>